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E7" w:rsidRPr="004721FA" w:rsidRDefault="00DB13E7" w:rsidP="00DB13E7">
      <w:pPr>
        <w:pStyle w:val="Cmsor2"/>
      </w:pPr>
      <w:bookmarkStart w:id="0" w:name="_Toc318191327"/>
      <w:bookmarkStart w:id="1" w:name="_Toc508224186"/>
      <w:r w:rsidRPr="004721FA">
        <w:t>A hátrányos és halmozottan hátrányos helyzetű hallgatók duális képzésben való egyenlő esélyű részvételét biztosító feltételek szabályzata</w:t>
      </w:r>
      <w:bookmarkEnd w:id="0"/>
      <w:r w:rsidRPr="004721FA">
        <w:t xml:space="preserve"> (HHDK)</w:t>
      </w:r>
      <w:bookmarkEnd w:id="1"/>
    </w:p>
    <w:p w:rsidR="00DB13E7" w:rsidRPr="00CF7344" w:rsidRDefault="00DB13E7" w:rsidP="00DB13E7">
      <w:pPr>
        <w:pStyle w:val="paragrafus3"/>
        <w:numPr>
          <w:ilvl w:val="0"/>
          <w:numId w:val="0"/>
        </w:numPr>
        <w:ind w:left="765"/>
      </w:pPr>
    </w:p>
    <w:p w:rsidR="00DB13E7" w:rsidRPr="00CF7344" w:rsidRDefault="00DB13E7" w:rsidP="00DB13E7">
      <w:pPr>
        <w:pStyle w:val="Cmsor2"/>
      </w:pPr>
      <w:bookmarkStart w:id="2" w:name="_Toc318191328"/>
      <w:r>
        <w:t xml:space="preserve">    </w:t>
      </w:r>
      <w:bookmarkStart w:id="3" w:name="_Toc508224187"/>
      <w:r w:rsidRPr="00CF7344">
        <w:t>A HHDK célja</w:t>
      </w:r>
      <w:bookmarkEnd w:id="2"/>
      <w:bookmarkEnd w:id="3"/>
    </w:p>
    <w:p w:rsidR="00DB13E7" w:rsidRDefault="00DB13E7" w:rsidP="00DB13E7">
      <w:pPr>
        <w:pStyle w:val="paragrafus3"/>
        <w:numPr>
          <w:ilvl w:val="0"/>
          <w:numId w:val="0"/>
        </w:numPr>
        <w:ind w:left="994" w:hanging="426"/>
        <w:jc w:val="center"/>
        <w:rPr>
          <w:b/>
        </w:rPr>
      </w:pPr>
      <w:r>
        <w:rPr>
          <w:b/>
        </w:rPr>
        <w:t>1</w:t>
      </w:r>
      <w:r w:rsidRPr="00CF7344">
        <w:rPr>
          <w:b/>
        </w:rPr>
        <w:t>.§</w:t>
      </w:r>
    </w:p>
    <w:p w:rsidR="00DB13E7" w:rsidRPr="00CF7344" w:rsidRDefault="00DB13E7" w:rsidP="00DB13E7">
      <w:pPr>
        <w:pStyle w:val="paragrafus3"/>
        <w:numPr>
          <w:ilvl w:val="0"/>
          <w:numId w:val="0"/>
        </w:numPr>
        <w:ind w:left="994" w:hanging="426"/>
        <w:jc w:val="center"/>
        <w:rPr>
          <w:b/>
        </w:rPr>
      </w:pPr>
    </w:p>
    <w:p w:rsidR="00DB13E7" w:rsidRPr="00CF7344" w:rsidRDefault="00DB13E7" w:rsidP="00DB13E7">
      <w:pPr>
        <w:pStyle w:val="paragrafus3"/>
        <w:numPr>
          <w:ilvl w:val="0"/>
          <w:numId w:val="2"/>
        </w:numPr>
      </w:pPr>
      <w:r w:rsidRPr="00CF7344">
        <w:t xml:space="preserve">A HHDK célja a HHDK hatálya alá tartozó duális képzésben </w:t>
      </w:r>
      <w:proofErr w:type="gramStart"/>
      <w:r w:rsidRPr="00CF7344">
        <w:t>résztvevő hallgatók</w:t>
      </w:r>
      <w:proofErr w:type="gramEnd"/>
      <w:r w:rsidRPr="00CF7344">
        <w:t xml:space="preserve"> esélyegyenlőségének biztosítása érdekében félévente kiírásra kerülő ösztöndíj pályázat kiírása során követendő eljárás, valamint a felek jogainak és kötelezettségeinek meghatározása.</w:t>
      </w:r>
    </w:p>
    <w:p w:rsidR="00DB13E7" w:rsidRDefault="00DB13E7" w:rsidP="00DB13E7">
      <w:pPr>
        <w:pStyle w:val="paragrafus3"/>
        <w:numPr>
          <w:ilvl w:val="0"/>
          <w:numId w:val="0"/>
        </w:numPr>
        <w:ind w:left="360"/>
      </w:pPr>
      <w:bookmarkStart w:id="4" w:name="_Toc318191329"/>
    </w:p>
    <w:p w:rsidR="00DB13E7" w:rsidRPr="00CF7344" w:rsidRDefault="00DB13E7" w:rsidP="00DB13E7">
      <w:pPr>
        <w:pStyle w:val="Cmsor2"/>
      </w:pPr>
      <w:r>
        <w:t xml:space="preserve">   </w:t>
      </w:r>
      <w:bookmarkStart w:id="5" w:name="_Toc508224188"/>
      <w:r w:rsidRPr="00CF7344">
        <w:t>A HHDK hatálya</w:t>
      </w:r>
      <w:bookmarkEnd w:id="4"/>
      <w:bookmarkEnd w:id="5"/>
    </w:p>
    <w:p w:rsidR="00DB13E7" w:rsidRDefault="00DB13E7" w:rsidP="00DB13E7">
      <w:pPr>
        <w:pStyle w:val="paragrafus3"/>
        <w:numPr>
          <w:ilvl w:val="0"/>
          <w:numId w:val="0"/>
        </w:numPr>
        <w:ind w:left="994" w:hanging="426"/>
        <w:jc w:val="center"/>
        <w:rPr>
          <w:b/>
        </w:rPr>
      </w:pPr>
      <w:r>
        <w:rPr>
          <w:b/>
        </w:rPr>
        <w:t>2.§</w:t>
      </w:r>
    </w:p>
    <w:p w:rsidR="00DB13E7" w:rsidRPr="00CF7344" w:rsidRDefault="00DB13E7" w:rsidP="00DB13E7">
      <w:pPr>
        <w:pStyle w:val="paragrafus3"/>
        <w:numPr>
          <w:ilvl w:val="0"/>
          <w:numId w:val="0"/>
        </w:numPr>
        <w:ind w:left="994" w:hanging="426"/>
        <w:jc w:val="center"/>
        <w:rPr>
          <w:b/>
        </w:rPr>
      </w:pPr>
    </w:p>
    <w:p w:rsidR="00DB13E7" w:rsidRPr="00CF7344" w:rsidRDefault="00DB13E7" w:rsidP="00DB13E7">
      <w:pPr>
        <w:pStyle w:val="paragrafus3"/>
        <w:numPr>
          <w:ilvl w:val="0"/>
          <w:numId w:val="3"/>
        </w:numPr>
      </w:pPr>
      <w:r w:rsidRPr="00CF7344">
        <w:t xml:space="preserve">A HHDK személyi hatálya kiterjed az egyetemmel hallgatói jogviszonyban álló duális képzési rendszerű képzésben résztvevő hátrányos helyzetű </w:t>
      </w:r>
      <w:proofErr w:type="gramStart"/>
      <w:r w:rsidRPr="00CF7344">
        <w:t>hallgatókra  (</w:t>
      </w:r>
      <w:proofErr w:type="gramEnd"/>
      <w:r w:rsidRPr="00CF7344">
        <w:t>a továbbiakban: támogatandó hallgatók), akik a nemzeti felsőoktatásról szóló 2011. évi CCIV. törvény 108.§-</w:t>
      </w:r>
      <w:proofErr w:type="spellStart"/>
      <w:r w:rsidRPr="00CF7344">
        <w:t>ának</w:t>
      </w:r>
      <w:proofErr w:type="spellEnd"/>
      <w:r w:rsidRPr="00CF7344">
        <w:t xml:space="preserve"> 10. pontja szerinti hátrányos helyzetűnek, illetve a 9. pontja  szerint halmozottan hátrányos helyzetűnek minősülnek.</w:t>
      </w:r>
    </w:p>
    <w:p w:rsidR="00DB13E7" w:rsidRPr="00CF7344" w:rsidRDefault="00DB13E7" w:rsidP="00DB13E7">
      <w:pPr>
        <w:pStyle w:val="paragrafus3"/>
        <w:numPr>
          <w:ilvl w:val="0"/>
          <w:numId w:val="3"/>
        </w:numPr>
      </w:pPr>
      <w:r w:rsidRPr="00CF7344">
        <w:t xml:space="preserve">A HHDK személyi hatálya kiterjed továbbá az egyetemmel hallgatói jogviszonyban álló duális képzési rendszerű képzésben résztvevő, </w:t>
      </w:r>
      <w:r w:rsidRPr="00CF7344">
        <w:rPr>
          <w:bCs/>
        </w:rPr>
        <w:t>a kedvezményezett települések besorolásáról és a besorolás feltételrendszeréről szóló 105/2015. (IV. 23.) Korm. rendelet</w:t>
      </w:r>
      <w:r w:rsidRPr="00CF7344">
        <w:t xml:space="preserve"> mellékletében felsorolt kedvezményezett /átmenetileg kedvezményezett településen állandó lakóhellyel bíró hallgatókra</w:t>
      </w:r>
      <w:r w:rsidRPr="00CF7344">
        <w:rPr>
          <w:bCs/>
        </w:rPr>
        <w:t xml:space="preserve">, vagy a kedvezményezett járások besorolásáról szóló 290/2014. (XI. 26.) Korm. rendelet mellékletében felsorolt </w:t>
      </w:r>
      <w:r w:rsidRPr="00CF7344">
        <w:t xml:space="preserve">kedvezményezett /átmenetileg kedvezményezett járások területén van állandó lakóhelye. </w:t>
      </w:r>
    </w:p>
    <w:p w:rsidR="00DB13E7" w:rsidRPr="00CF7344" w:rsidRDefault="00DB13E7" w:rsidP="00DB13E7">
      <w:pPr>
        <w:pStyle w:val="paragrafus3"/>
        <w:numPr>
          <w:ilvl w:val="0"/>
          <w:numId w:val="3"/>
        </w:numPr>
      </w:pPr>
      <w:r w:rsidRPr="00CF7344">
        <w:t>A HHDK időbeli hatálya: HHDK alapján ösztöndíj először a 2017/2018 tanév tavaszi félévében, utoljára a 2021/2022 tanév őszi félévében folyósítható.</w:t>
      </w:r>
    </w:p>
    <w:p w:rsidR="00DB13E7" w:rsidRPr="00CF7344" w:rsidRDefault="00DB13E7" w:rsidP="00DB13E7">
      <w:pPr>
        <w:pStyle w:val="paragrafus3"/>
        <w:numPr>
          <w:ilvl w:val="0"/>
          <w:numId w:val="0"/>
        </w:numPr>
      </w:pPr>
    </w:p>
    <w:p w:rsidR="00DB13E7" w:rsidRPr="00CF7344" w:rsidRDefault="00DB13E7" w:rsidP="00DB13E7">
      <w:pPr>
        <w:pStyle w:val="Cmsor2"/>
      </w:pPr>
      <w:bookmarkStart w:id="6" w:name="_Toc318191330"/>
      <w:bookmarkStart w:id="7" w:name="_Toc508224189"/>
      <w:r>
        <w:t xml:space="preserve">       </w:t>
      </w:r>
      <w:r w:rsidRPr="00CF7344">
        <w:t xml:space="preserve">Kapcsolódó </w:t>
      </w:r>
      <w:proofErr w:type="gramStart"/>
      <w:r w:rsidRPr="00CF7344">
        <w:t>dokumentumok</w:t>
      </w:r>
      <w:bookmarkEnd w:id="6"/>
      <w:bookmarkEnd w:id="7"/>
      <w:proofErr w:type="gramEnd"/>
    </w:p>
    <w:p w:rsidR="00DB13E7" w:rsidRDefault="00DB13E7" w:rsidP="00DB13E7">
      <w:pPr>
        <w:pStyle w:val="paragrafus3"/>
        <w:numPr>
          <w:ilvl w:val="0"/>
          <w:numId w:val="0"/>
        </w:numPr>
        <w:ind w:left="765"/>
        <w:jc w:val="center"/>
      </w:pPr>
      <w:r w:rsidRPr="00CF7344">
        <w:t>3.§</w:t>
      </w:r>
    </w:p>
    <w:p w:rsidR="00DB13E7" w:rsidRPr="00CF7344" w:rsidRDefault="00DB13E7" w:rsidP="00DB13E7">
      <w:pPr>
        <w:pStyle w:val="paragrafus3"/>
        <w:numPr>
          <w:ilvl w:val="0"/>
          <w:numId w:val="0"/>
        </w:numPr>
        <w:ind w:left="765"/>
        <w:jc w:val="center"/>
      </w:pPr>
    </w:p>
    <w:p w:rsidR="00DB13E7" w:rsidRPr="00CF7344" w:rsidRDefault="00DB13E7" w:rsidP="00DB13E7">
      <w:pPr>
        <w:pStyle w:val="paragrafus3"/>
        <w:numPr>
          <w:ilvl w:val="0"/>
          <w:numId w:val="0"/>
        </w:numPr>
        <w:ind w:left="360"/>
      </w:pPr>
      <w:r>
        <w:t xml:space="preserve">(1) </w:t>
      </w:r>
      <w:r w:rsidRPr="00CF7344">
        <w:t xml:space="preserve">A HHDK -hoz kapcsolódó </w:t>
      </w:r>
      <w:proofErr w:type="gramStart"/>
      <w:r w:rsidRPr="00CF7344">
        <w:t>dokumentumok</w:t>
      </w:r>
      <w:proofErr w:type="gramEnd"/>
      <w:r w:rsidRPr="00CF7344">
        <w:t>:</w:t>
      </w:r>
    </w:p>
    <w:p w:rsidR="00DB13E7" w:rsidRPr="00CF7344" w:rsidRDefault="00DB13E7" w:rsidP="00DB13E7">
      <w:pPr>
        <w:pStyle w:val="paragrafus3"/>
        <w:numPr>
          <w:ilvl w:val="0"/>
          <w:numId w:val="0"/>
        </w:numPr>
        <w:ind w:left="785"/>
      </w:pPr>
      <w:proofErr w:type="gramStart"/>
      <w:r>
        <w:t>a</w:t>
      </w:r>
      <w:proofErr w:type="gramEnd"/>
      <w:r>
        <w:t xml:space="preserve">) </w:t>
      </w:r>
      <w:r w:rsidRPr="00CF7344">
        <w:t xml:space="preserve">a nemzeti felsőoktatásról szóló 2011. évi CCIV. számú törvény (a továbbiakban: </w:t>
      </w:r>
      <w:proofErr w:type="spellStart"/>
      <w:r w:rsidRPr="00CF7344">
        <w:t>Nftv</w:t>
      </w:r>
      <w:proofErr w:type="spellEnd"/>
      <w:r w:rsidRPr="00CF7344">
        <w:t>),</w:t>
      </w:r>
    </w:p>
    <w:p w:rsidR="00DB13E7" w:rsidRPr="00CF7344" w:rsidRDefault="00DB13E7" w:rsidP="00DB13E7">
      <w:pPr>
        <w:pStyle w:val="paragrafus3"/>
        <w:numPr>
          <w:ilvl w:val="0"/>
          <w:numId w:val="0"/>
        </w:numPr>
        <w:ind w:left="785"/>
      </w:pPr>
      <w:proofErr w:type="gramStart"/>
      <w:r w:rsidRPr="00CF7344">
        <w:t>a</w:t>
      </w:r>
      <w:proofErr w:type="gramEnd"/>
      <w:r w:rsidRPr="00CF7344">
        <w:t xml:space="preserve"> gyermekek védelméről és a gyámügyi igazgatásról szóló 1997. évi XXXI. törvény</w:t>
      </w:r>
    </w:p>
    <w:p w:rsidR="00DB13E7" w:rsidRPr="00CF7344" w:rsidRDefault="00DB13E7" w:rsidP="00DB13E7">
      <w:pPr>
        <w:pStyle w:val="paragrafus3"/>
        <w:numPr>
          <w:ilvl w:val="0"/>
          <w:numId w:val="0"/>
        </w:numPr>
        <w:ind w:left="785"/>
      </w:pPr>
      <w:r>
        <w:t xml:space="preserve">c) </w:t>
      </w:r>
      <w:r w:rsidRPr="00CF7344">
        <w:t>a kedvezményezett települések besorolásáról és a besorolás feltételrendszeréről szóló 105/2015. (IV. 23.) Korm. rendelet</w:t>
      </w:r>
    </w:p>
    <w:p w:rsidR="00DB13E7" w:rsidRPr="00CF7344" w:rsidRDefault="00DB13E7" w:rsidP="00DB13E7">
      <w:pPr>
        <w:pStyle w:val="paragrafus3"/>
        <w:numPr>
          <w:ilvl w:val="0"/>
          <w:numId w:val="0"/>
        </w:numPr>
        <w:ind w:left="785"/>
      </w:pPr>
      <w:r>
        <w:t xml:space="preserve">d) </w:t>
      </w:r>
      <w:r w:rsidRPr="00CF7344">
        <w:t>a kedvezményezett járások besorolásáról szóló 290/2014. (XI. 26.) Korm. rendelet</w:t>
      </w:r>
    </w:p>
    <w:p w:rsidR="00DB13E7" w:rsidRPr="00CF7344" w:rsidRDefault="00DB13E7" w:rsidP="00DB13E7">
      <w:pPr>
        <w:pStyle w:val="paragrafus3"/>
        <w:numPr>
          <w:ilvl w:val="0"/>
          <w:numId w:val="0"/>
        </w:numPr>
        <w:ind w:left="785"/>
      </w:pPr>
      <w:proofErr w:type="gramStart"/>
      <w:r w:rsidRPr="00CF7344">
        <w:t>az</w:t>
      </w:r>
      <w:proofErr w:type="gramEnd"/>
      <w:r w:rsidRPr="00CF7344">
        <w:t xml:space="preserve"> egyenlő bánásmódról és az esélyegyenlőség előmozdításáról 2003. évi CXXV. törvény.</w:t>
      </w:r>
    </w:p>
    <w:p w:rsidR="00DB13E7" w:rsidRPr="00CF7344" w:rsidRDefault="00DB13E7" w:rsidP="00DB13E7">
      <w:pPr>
        <w:pStyle w:val="Cmsor2"/>
      </w:pPr>
      <w:bookmarkStart w:id="8" w:name="_Toc318191331"/>
      <w:r>
        <w:lastRenderedPageBreak/>
        <w:t xml:space="preserve">       </w:t>
      </w:r>
      <w:bookmarkStart w:id="9" w:name="_Toc508224190"/>
      <w:r w:rsidRPr="00CF7344">
        <w:t>Fogalmak</w:t>
      </w:r>
      <w:bookmarkEnd w:id="8"/>
      <w:bookmarkEnd w:id="9"/>
    </w:p>
    <w:p w:rsidR="00DB13E7" w:rsidRDefault="00DB13E7" w:rsidP="00DB13E7">
      <w:pPr>
        <w:pStyle w:val="paragrafus3"/>
        <w:numPr>
          <w:ilvl w:val="0"/>
          <w:numId w:val="0"/>
        </w:numPr>
        <w:ind w:left="765"/>
        <w:jc w:val="center"/>
      </w:pPr>
      <w:r w:rsidRPr="00CF7344">
        <w:t>4.§</w:t>
      </w:r>
    </w:p>
    <w:p w:rsidR="00DB13E7" w:rsidRPr="00CF7344" w:rsidRDefault="00DB13E7" w:rsidP="00DB13E7">
      <w:pPr>
        <w:pStyle w:val="paragrafus3"/>
        <w:numPr>
          <w:ilvl w:val="0"/>
          <w:numId w:val="0"/>
        </w:numPr>
        <w:ind w:left="765"/>
        <w:jc w:val="center"/>
      </w:pPr>
    </w:p>
    <w:p w:rsidR="00DB13E7" w:rsidRPr="00CF7344" w:rsidRDefault="00DB13E7" w:rsidP="00DB13E7">
      <w:pPr>
        <w:pStyle w:val="paragrafus3"/>
        <w:numPr>
          <w:ilvl w:val="0"/>
          <w:numId w:val="4"/>
        </w:numPr>
      </w:pPr>
      <w:r w:rsidRPr="00CF7344">
        <w:t xml:space="preserve">A HHDK értelmében hátrányos helyzetű hallgató: </w:t>
      </w:r>
    </w:p>
    <w:p w:rsidR="00DB13E7" w:rsidRPr="00CF7344" w:rsidRDefault="00DB13E7" w:rsidP="00DB13E7">
      <w:pPr>
        <w:pStyle w:val="paragrafus3"/>
        <w:numPr>
          <w:ilvl w:val="0"/>
          <w:numId w:val="6"/>
        </w:numPr>
      </w:pPr>
      <w:r w:rsidRPr="00CF7344">
        <w:t>az a huszonötödik életévét be nem töltött, duális képzésben részt vevő hallgató, aki a gyermekek védelméről és a gyámügyi igazgatásról szóló törvényben meghatározottak szerint hátrányos helyzetűnek minősül.</w:t>
      </w:r>
    </w:p>
    <w:p w:rsidR="00DB13E7" w:rsidRPr="00CF7344" w:rsidRDefault="00DB13E7" w:rsidP="00DB13E7">
      <w:pPr>
        <w:pStyle w:val="paragrafus3"/>
        <w:numPr>
          <w:ilvl w:val="0"/>
          <w:numId w:val="6"/>
        </w:numPr>
      </w:pPr>
      <w:r w:rsidRPr="00CF7344">
        <w:t>az a duális képzésben részt vevő hallgató, akinek állandó lakóhelye a kedvezményezett települések besorolásáról és a besorolás feltételrendszeréről szóló 105/2015. (IV. 23.) Korm. rendelet mellékletében felsorolt kedvezményezett /átmenetileg kedvezményezett településen van.</w:t>
      </w:r>
    </w:p>
    <w:p w:rsidR="00DB13E7" w:rsidRPr="00CF7344" w:rsidRDefault="00DB13E7" w:rsidP="00DB13E7">
      <w:pPr>
        <w:pStyle w:val="paragrafus3"/>
        <w:numPr>
          <w:ilvl w:val="0"/>
          <w:numId w:val="6"/>
        </w:numPr>
      </w:pPr>
      <w:r w:rsidRPr="00CF7344">
        <w:t>az a duális képzésben részt vevő hallgató, akinek állandó lakóhelye a kedvezményezett járások besorolásáról szóló 290/2014. (XI. 26.) Korm. rendelet mellékletében felsorolt kedvezményezett /átmenetileg kedvezményezett járásban van.</w:t>
      </w:r>
    </w:p>
    <w:p w:rsidR="00DB13E7" w:rsidRPr="00CF7344" w:rsidRDefault="00DB13E7" w:rsidP="00DB13E7">
      <w:pPr>
        <w:pStyle w:val="paragrafus3"/>
        <w:numPr>
          <w:ilvl w:val="0"/>
          <w:numId w:val="4"/>
        </w:numPr>
      </w:pPr>
      <w:r w:rsidRPr="00CF7344">
        <w:t xml:space="preserve">A HHDK értelmében halmozottan hátrányos helyzetű hallgató: az a 4.§ (1) </w:t>
      </w:r>
      <w:proofErr w:type="gramStart"/>
      <w:r w:rsidRPr="00CF7344">
        <w:t>a</w:t>
      </w:r>
      <w:proofErr w:type="gramEnd"/>
      <w:r w:rsidRPr="00CF7344">
        <w:t xml:space="preserve">,  pont szerint hátrányos helyzetű hallgató, aki a gyermekek védelméről és a gyámügyi igazgatásról szóló törvényben meghatározottak szerint halmozottan hátrányos helyzetűnek minősül </w:t>
      </w:r>
    </w:p>
    <w:p w:rsidR="00DB13E7" w:rsidRPr="00CF7344" w:rsidRDefault="00DB13E7" w:rsidP="00DB13E7">
      <w:pPr>
        <w:pStyle w:val="paragrafus3"/>
        <w:numPr>
          <w:ilvl w:val="0"/>
          <w:numId w:val="4"/>
        </w:numPr>
      </w:pPr>
      <w:r w:rsidRPr="00CF7344">
        <w:t xml:space="preserve">HHDK ösztöndíjprogram: hátrányos és halmozottan hátrányos helyzetű duális képzésben részt vevő hallgatók által félévente pályázható pénzbeli támogatás, melynek célja, a felsőoktatási intézmény által a hallgató szakmai gyakorlóhelyen eltöltött időszakának anyagi </w:t>
      </w:r>
      <w:proofErr w:type="spellStart"/>
      <w:r w:rsidRPr="00CF7344">
        <w:t>terheihez</w:t>
      </w:r>
      <w:proofErr w:type="spellEnd"/>
      <w:r w:rsidRPr="00CF7344">
        <w:t xml:space="preserve"> való támogatás, segítség nyújtása.</w:t>
      </w:r>
    </w:p>
    <w:p w:rsidR="00DB13E7" w:rsidRPr="00CF7344" w:rsidRDefault="00DB13E7" w:rsidP="00DB13E7">
      <w:pPr>
        <w:pStyle w:val="paragrafus3"/>
        <w:numPr>
          <w:ilvl w:val="0"/>
          <w:numId w:val="0"/>
        </w:numPr>
        <w:ind w:left="765"/>
      </w:pPr>
    </w:p>
    <w:p w:rsidR="00DB13E7" w:rsidRPr="00CF7344" w:rsidRDefault="00DB13E7" w:rsidP="00DB13E7">
      <w:pPr>
        <w:pStyle w:val="paragrafus3"/>
        <w:numPr>
          <w:ilvl w:val="0"/>
          <w:numId w:val="4"/>
        </w:numPr>
      </w:pPr>
      <w:bookmarkStart w:id="10" w:name="_Toc152129423"/>
      <w:bookmarkStart w:id="11" w:name="_Toc239223100"/>
      <w:bookmarkStart w:id="12" w:name="_Toc318191332"/>
      <w:r w:rsidRPr="00CF7344">
        <w:t>A hátrányos és halmozottan hátrányos helyzetű duális képzésben részt vevő hallgatók által pályázható ösztöndíj ügyében illetékes egyetemi bizottság a Duális Képzési Bizottság.</w:t>
      </w:r>
    </w:p>
    <w:bookmarkEnd w:id="10"/>
    <w:bookmarkEnd w:id="11"/>
    <w:bookmarkEnd w:id="12"/>
    <w:p w:rsidR="00DB13E7" w:rsidRPr="00CF7344" w:rsidRDefault="00DB13E7" w:rsidP="00DB13E7">
      <w:pPr>
        <w:pStyle w:val="paragrafus3"/>
        <w:numPr>
          <w:ilvl w:val="0"/>
          <w:numId w:val="0"/>
        </w:numPr>
        <w:ind w:left="720"/>
      </w:pPr>
    </w:p>
    <w:p w:rsidR="00DB13E7" w:rsidRDefault="00DB13E7" w:rsidP="00DB13E7">
      <w:pPr>
        <w:pStyle w:val="paragrafus3"/>
        <w:numPr>
          <w:ilvl w:val="0"/>
          <w:numId w:val="0"/>
        </w:numPr>
        <w:ind w:left="720"/>
        <w:jc w:val="center"/>
      </w:pPr>
      <w:r w:rsidRPr="00CF7344">
        <w:t>5.§</w:t>
      </w:r>
    </w:p>
    <w:p w:rsidR="00DB13E7" w:rsidRPr="00CF7344" w:rsidRDefault="00DB13E7" w:rsidP="00DB13E7">
      <w:pPr>
        <w:pStyle w:val="paragrafus3"/>
        <w:numPr>
          <w:ilvl w:val="0"/>
          <w:numId w:val="0"/>
        </w:numPr>
        <w:ind w:left="720"/>
        <w:jc w:val="center"/>
      </w:pPr>
    </w:p>
    <w:p w:rsidR="00DB13E7" w:rsidRPr="00CF7344" w:rsidRDefault="00DB13E7" w:rsidP="00DB13E7">
      <w:pPr>
        <w:pStyle w:val="paragrafus3"/>
        <w:numPr>
          <w:ilvl w:val="0"/>
          <w:numId w:val="5"/>
        </w:numPr>
      </w:pPr>
      <w:r w:rsidRPr="00CF7344">
        <w:t>A hátrányos és halmozottan hátrányos helyzetű duális képzésben részt vevő hallgatók esélyegyenlőségének biztosítására a Szenátus által duális képzési ügyek intézésére létrehozott Duális Képzési Bizottság jár el elsőfokú döntéshozó szervként.</w:t>
      </w:r>
    </w:p>
    <w:p w:rsidR="00DB13E7" w:rsidRPr="00CF7344" w:rsidRDefault="00DB13E7" w:rsidP="00DB13E7">
      <w:pPr>
        <w:pStyle w:val="paragrafus3"/>
        <w:numPr>
          <w:ilvl w:val="0"/>
          <w:numId w:val="5"/>
        </w:numPr>
      </w:pPr>
      <w:r w:rsidRPr="00CF7344">
        <w:t>A Duális Képzési Bizottság döntése ellen a kézhezvételtől számított 15 napon belül Hallgatói Jogorvoslati Bizottsághoz (HAJÖB) lehet fordulni jogorvoslatért, mint másodfokú döntéshozó szervhez.</w:t>
      </w:r>
    </w:p>
    <w:p w:rsidR="00DB13E7" w:rsidRPr="00CF7344" w:rsidRDefault="00DB13E7" w:rsidP="00DB13E7">
      <w:pPr>
        <w:pStyle w:val="paragrafus3"/>
        <w:numPr>
          <w:ilvl w:val="0"/>
          <w:numId w:val="5"/>
        </w:numPr>
      </w:pPr>
      <w:r w:rsidRPr="00CF7344">
        <w:t xml:space="preserve">A Duális Képzési Bizottság jelen szabályzat szerinti ösztöndíjjal kapcsolatos feladatkörében minden félév szorgalmi időszakának elején pályázati felhívást tesz közzé a tanulmányi rendszerben a hátrányos helyzetű duális képzésű hallgatók támogatására. A pályázatokat a Duális Képzési Irodába (3300 Eger, Egészségház u. 4.  </w:t>
      </w:r>
      <w:proofErr w:type="spellStart"/>
      <w:r w:rsidRPr="00CF7344">
        <w:t>B.ép</w:t>
      </w:r>
      <w:proofErr w:type="spellEnd"/>
      <w:r w:rsidRPr="00CF7344">
        <w:t>. 2</w:t>
      </w:r>
      <w:proofErr w:type="gramStart"/>
      <w:r w:rsidRPr="00CF7344">
        <w:t>.em.</w:t>
      </w:r>
      <w:proofErr w:type="gramEnd"/>
      <w:r w:rsidRPr="00CF7344">
        <w:t xml:space="preserve"> 227. iroda) lehet benyújtani papír alapon és egyidejűleg elektronikusan a </w:t>
      </w:r>
      <w:hyperlink r:id="rId5" w:history="1">
        <w:r w:rsidRPr="00CF7344">
          <w:rPr>
            <w:rStyle w:val="Hiperhivatkozs"/>
          </w:rPr>
          <w:t>dualis@uni-eszterhazy.hu</w:t>
        </w:r>
      </w:hyperlink>
      <w:r w:rsidRPr="00CF7344">
        <w:t xml:space="preserve"> e-mail címre, a szorgalmi időszak 5. hetének végéig. A Duális Képzési Bizottság döntését 10 munkanapon belül hozza meg.</w:t>
      </w:r>
    </w:p>
    <w:p w:rsidR="00DB13E7" w:rsidRPr="00CF7344" w:rsidRDefault="00DB13E7" w:rsidP="00DB13E7">
      <w:pPr>
        <w:pStyle w:val="paragrafus3"/>
        <w:numPr>
          <w:ilvl w:val="0"/>
          <w:numId w:val="5"/>
        </w:numPr>
      </w:pPr>
      <w:r w:rsidRPr="00CF7344">
        <w:t>A Bizottság az ösztöndíj elbírálás előkészítése során az alábbiak szerint jár el:</w:t>
      </w:r>
    </w:p>
    <w:p w:rsidR="00DB13E7" w:rsidRPr="00CF7344" w:rsidRDefault="00DB13E7" w:rsidP="00DB13E7">
      <w:pPr>
        <w:pStyle w:val="paragrafus3"/>
        <w:numPr>
          <w:ilvl w:val="1"/>
          <w:numId w:val="4"/>
        </w:numPr>
        <w:tabs>
          <w:tab w:val="left" w:pos="709"/>
        </w:tabs>
      </w:pPr>
      <w:r w:rsidRPr="00CF7344">
        <w:t xml:space="preserve">a határidőn túl benyújtott, vagy formailag nem megfelelő pályázatokat a bírálatból kizárja </w:t>
      </w:r>
    </w:p>
    <w:p w:rsidR="00DB13E7" w:rsidRPr="00CF7344" w:rsidRDefault="00DB13E7" w:rsidP="00DB13E7">
      <w:pPr>
        <w:pStyle w:val="paragrafus3"/>
        <w:numPr>
          <w:ilvl w:val="1"/>
          <w:numId w:val="4"/>
        </w:numPr>
        <w:tabs>
          <w:tab w:val="left" w:pos="709"/>
        </w:tabs>
      </w:pPr>
      <w:r w:rsidRPr="00CF7344">
        <w:t>minden, határidőn belül benyújtott, formailag megfelelő pályázatot elbírál, azokról érdemben dönt</w:t>
      </w:r>
    </w:p>
    <w:p w:rsidR="00DB13E7" w:rsidRPr="00CF7344" w:rsidRDefault="00DB13E7" w:rsidP="00DB13E7">
      <w:pPr>
        <w:pStyle w:val="paragrafus3"/>
        <w:numPr>
          <w:ilvl w:val="1"/>
          <w:numId w:val="4"/>
        </w:numPr>
        <w:tabs>
          <w:tab w:val="left" w:pos="709"/>
        </w:tabs>
      </w:pPr>
      <w:r w:rsidRPr="00CF7344">
        <w:lastRenderedPageBreak/>
        <w:t>a határidőben benyújtott, de hiányos pályázatok esetén a pályázati határidő leteltét követő 3. napig hiánypótlásra lehetőséget ad</w:t>
      </w:r>
    </w:p>
    <w:p w:rsidR="00DB13E7" w:rsidRPr="00CF7344" w:rsidRDefault="00DB13E7" w:rsidP="00DB13E7">
      <w:pPr>
        <w:pStyle w:val="paragrafus3"/>
        <w:numPr>
          <w:ilvl w:val="1"/>
          <w:numId w:val="4"/>
        </w:numPr>
        <w:tabs>
          <w:tab w:val="left" w:pos="709"/>
        </w:tabs>
      </w:pPr>
      <w:r w:rsidRPr="00CF7344">
        <w:t xml:space="preserve">az elbírálásra során korra, fajra, nemre, bőrszínre, felekezeti vagy világnézeti hovatartozásra, tanulmányi eredményre tekintet nélkül, kizárólag a pályázó hátrányos helyzetéből eredő rászorultságának </w:t>
      </w:r>
      <w:proofErr w:type="gramStart"/>
      <w:r w:rsidRPr="00CF7344">
        <w:t>objektív</w:t>
      </w:r>
      <w:proofErr w:type="gramEnd"/>
      <w:r w:rsidRPr="00CF7344">
        <w:t xml:space="preserve"> vizsgálatára tekintettel járhat el</w:t>
      </w:r>
    </w:p>
    <w:p w:rsidR="00DB13E7" w:rsidRPr="00CF7344" w:rsidRDefault="00DB13E7" w:rsidP="00DB13E7">
      <w:pPr>
        <w:pStyle w:val="paragrafus3"/>
        <w:numPr>
          <w:ilvl w:val="0"/>
          <w:numId w:val="4"/>
        </w:numPr>
      </w:pPr>
      <w:bookmarkStart w:id="13" w:name="_Toc318191339"/>
      <w:r w:rsidRPr="00CF7344">
        <w:t>A hátrányos és halmozottan hátrányos helyzet megállapításának és igazolásának rendje</w:t>
      </w:r>
      <w:bookmarkEnd w:id="13"/>
    </w:p>
    <w:p w:rsidR="00DB13E7" w:rsidRDefault="00DB13E7" w:rsidP="00DB13E7">
      <w:pPr>
        <w:pStyle w:val="paragrafus3"/>
        <w:numPr>
          <w:ilvl w:val="0"/>
          <w:numId w:val="0"/>
        </w:numPr>
        <w:ind w:left="720"/>
      </w:pPr>
    </w:p>
    <w:p w:rsidR="00DB13E7" w:rsidRDefault="00DB13E7" w:rsidP="00DB13E7">
      <w:pPr>
        <w:pStyle w:val="paragrafus3"/>
        <w:numPr>
          <w:ilvl w:val="0"/>
          <w:numId w:val="0"/>
        </w:numPr>
        <w:ind w:left="720"/>
        <w:jc w:val="center"/>
      </w:pPr>
      <w:r w:rsidRPr="00CF7344">
        <w:t>6.§</w:t>
      </w:r>
    </w:p>
    <w:p w:rsidR="00DB13E7" w:rsidRPr="00CF7344" w:rsidRDefault="00DB13E7" w:rsidP="00DB13E7">
      <w:pPr>
        <w:pStyle w:val="paragrafus3"/>
        <w:numPr>
          <w:ilvl w:val="0"/>
          <w:numId w:val="0"/>
        </w:numPr>
        <w:ind w:left="720"/>
        <w:jc w:val="center"/>
      </w:pPr>
    </w:p>
    <w:p w:rsidR="00DB13E7" w:rsidRPr="00CF7344" w:rsidRDefault="00DB13E7" w:rsidP="00DB13E7">
      <w:pPr>
        <w:pStyle w:val="paragrafus3"/>
        <w:numPr>
          <w:ilvl w:val="0"/>
          <w:numId w:val="7"/>
        </w:numPr>
      </w:pPr>
      <w:r w:rsidRPr="00CF7344">
        <w:t xml:space="preserve">A HHDK 4.§ (1) bekezdés </w:t>
      </w:r>
      <w:proofErr w:type="gramStart"/>
      <w:r w:rsidRPr="00CF7344">
        <w:t>a</w:t>
      </w:r>
      <w:proofErr w:type="gramEnd"/>
      <w:r w:rsidRPr="00CF7344">
        <w:t xml:space="preserve">, pontja szerinti hátrányos helyzetű hallgató és a 4.§ (2) bekezdés szerinti halmozottan hátrányos helyzetű hallgató hátrányos, illetve halmozottan hátrányos helyzetét az állandó lakóhelye szerinti illetékes önkormányzat jegyzője által hozott, a hátrányos illetve halmozottan hátrányos helyzet fennállását megállapító határozattal igazolja.  </w:t>
      </w:r>
    </w:p>
    <w:p w:rsidR="00DB13E7" w:rsidRPr="0062057D" w:rsidRDefault="00DB13E7" w:rsidP="00DB13E7">
      <w:pPr>
        <w:pStyle w:val="paragrafus3"/>
        <w:numPr>
          <w:ilvl w:val="0"/>
          <w:numId w:val="7"/>
        </w:numPr>
      </w:pPr>
      <w:r w:rsidRPr="00CF7344">
        <w:t xml:space="preserve">A HHDK 4.§ (1) bekezdés b, és c, pontja szerinti hátrányos helyzetű hallgató hátrányos helyzetű kedvezményezett /átmenetileg kedvezményezett településen vagy járásban való állandó lakhelyét érvényes személyazonosító igazolványa és lakcímkártyája másolatával igazolja. A Duális Képzési Bizottság a hatályos kormányrendeletben ellenőrzi a település vagy járás kedvezményezett helyzetének fennállását. </w:t>
      </w:r>
    </w:p>
    <w:p w:rsidR="00DB13E7" w:rsidRPr="00CF7344" w:rsidRDefault="00DB13E7" w:rsidP="00DB13E7">
      <w:pPr>
        <w:pStyle w:val="Cmsor2"/>
      </w:pPr>
      <w:r>
        <w:t xml:space="preserve">               </w:t>
      </w:r>
      <w:bookmarkStart w:id="14" w:name="_Toc508224191"/>
      <w:r w:rsidRPr="00CF7344">
        <w:t>A pályázat benyújtásának feltételei</w:t>
      </w:r>
      <w:bookmarkEnd w:id="14"/>
      <w:r w:rsidRPr="00CF7344">
        <w:t xml:space="preserve"> </w:t>
      </w:r>
    </w:p>
    <w:p w:rsidR="00DB13E7" w:rsidRDefault="00DB13E7" w:rsidP="00DB13E7">
      <w:pPr>
        <w:pStyle w:val="paragrafus3"/>
        <w:numPr>
          <w:ilvl w:val="0"/>
          <w:numId w:val="0"/>
        </w:numPr>
        <w:ind w:left="720"/>
      </w:pPr>
      <w:r w:rsidRPr="00CF7344">
        <w:t xml:space="preserve">                                                                  7.§ </w:t>
      </w:r>
    </w:p>
    <w:p w:rsidR="00DB13E7" w:rsidRPr="00CF7344" w:rsidRDefault="00DB13E7" w:rsidP="00DB13E7">
      <w:pPr>
        <w:pStyle w:val="paragrafus3"/>
        <w:numPr>
          <w:ilvl w:val="0"/>
          <w:numId w:val="0"/>
        </w:numPr>
        <w:ind w:left="720"/>
      </w:pPr>
    </w:p>
    <w:p w:rsidR="00DB13E7" w:rsidRPr="00CF7344" w:rsidRDefault="00DB13E7" w:rsidP="00DB13E7">
      <w:pPr>
        <w:pStyle w:val="paragrafus3"/>
        <w:numPr>
          <w:ilvl w:val="0"/>
          <w:numId w:val="8"/>
        </w:numPr>
      </w:pPr>
      <w:r w:rsidRPr="00CF7344">
        <w:t xml:space="preserve">HHDK pályázat benyújtásának feltétele, hogy a pályázó hallgató hátrányos vagy halmozottan hátrányos helyzetű legyen, amit a HHDK 6. § szerinti igazolással </w:t>
      </w:r>
      <w:proofErr w:type="spellStart"/>
      <w:r w:rsidRPr="00CF7344">
        <w:t>támasszon</w:t>
      </w:r>
      <w:proofErr w:type="spellEnd"/>
      <w:r w:rsidRPr="00CF7344">
        <w:t xml:space="preserve"> alá, a pályázat benyújtásának félévében </w:t>
      </w:r>
      <w:proofErr w:type="gramStart"/>
      <w:r w:rsidRPr="00CF7344">
        <w:t>aktív</w:t>
      </w:r>
      <w:proofErr w:type="gramEnd"/>
      <w:r w:rsidRPr="00CF7344">
        <w:t xml:space="preserve"> státusszal rendelkezzen, és érvényes munkaszerződése legyen a duális partnerrel, határidőben </w:t>
      </w:r>
      <w:proofErr w:type="spellStart"/>
      <w:r w:rsidRPr="00CF7344">
        <w:t>benyújtsa</w:t>
      </w:r>
      <w:proofErr w:type="spellEnd"/>
      <w:r w:rsidRPr="00CF7344">
        <w:t xml:space="preserve"> pályázatát, hiányosság esetén a hiánypótlási határidőben pótolja a hiányt.</w:t>
      </w:r>
    </w:p>
    <w:p w:rsidR="00DB13E7" w:rsidRPr="00CF7344" w:rsidRDefault="00DB13E7" w:rsidP="00DB13E7">
      <w:pPr>
        <w:pStyle w:val="paragrafus3"/>
        <w:numPr>
          <w:ilvl w:val="0"/>
          <w:numId w:val="8"/>
        </w:numPr>
      </w:pPr>
      <w:r w:rsidRPr="00CF7344">
        <w:t>Amennyiben a pályázó hallgató a nyertes pályázata ellenére a pályázattal érintett félévét passzíválja, vagy hallgatói jogviszonya a HHDK ösztöndíjjal támogatott félévben bármely okból megszűnik, részére HHDK ösztöndíj nem utalható ki, vagy a már kiutalt ösztöndíjat a hallgató köteles visszafizetni az Egyetem részére az ösztöndíj hallgató bankszámlaszámára történő megérkezésétől számított 10 napon belül.</w:t>
      </w:r>
    </w:p>
    <w:p w:rsidR="00DB13E7" w:rsidRPr="00CF7344" w:rsidRDefault="00DB13E7" w:rsidP="00DB13E7">
      <w:pPr>
        <w:pStyle w:val="paragrafus3"/>
        <w:numPr>
          <w:ilvl w:val="0"/>
          <w:numId w:val="0"/>
        </w:numPr>
        <w:ind w:left="720"/>
      </w:pPr>
    </w:p>
    <w:p w:rsidR="00DB13E7" w:rsidRPr="00CF7344" w:rsidRDefault="00DB13E7" w:rsidP="00DB13E7">
      <w:pPr>
        <w:pStyle w:val="Cmsor2"/>
      </w:pPr>
      <w:r>
        <w:t xml:space="preserve">                </w:t>
      </w:r>
      <w:bookmarkStart w:id="15" w:name="_Toc508224192"/>
      <w:r w:rsidRPr="00CF7344">
        <w:t>A támogatási összeg és folyósítása</w:t>
      </w:r>
      <w:bookmarkEnd w:id="15"/>
      <w:r w:rsidRPr="00CF7344">
        <w:t xml:space="preserve"> </w:t>
      </w:r>
    </w:p>
    <w:p w:rsidR="00DB13E7" w:rsidRDefault="00DB13E7" w:rsidP="00DB13E7">
      <w:pPr>
        <w:pStyle w:val="paragrafus3"/>
        <w:numPr>
          <w:ilvl w:val="0"/>
          <w:numId w:val="0"/>
        </w:numPr>
        <w:ind w:left="720"/>
      </w:pPr>
      <w:r w:rsidRPr="00CF7344">
        <w:t xml:space="preserve">                                                                      8.§ </w:t>
      </w:r>
    </w:p>
    <w:p w:rsidR="00DB13E7" w:rsidRPr="00CF7344" w:rsidRDefault="00DB13E7" w:rsidP="00DB13E7">
      <w:pPr>
        <w:pStyle w:val="paragrafus3"/>
        <w:numPr>
          <w:ilvl w:val="0"/>
          <w:numId w:val="0"/>
        </w:numPr>
        <w:ind w:left="720"/>
      </w:pPr>
    </w:p>
    <w:p w:rsidR="00DB13E7" w:rsidRPr="00CF7344" w:rsidRDefault="00DB13E7" w:rsidP="00DB13E7">
      <w:pPr>
        <w:pStyle w:val="paragrafus3"/>
        <w:numPr>
          <w:ilvl w:val="0"/>
          <w:numId w:val="0"/>
        </w:numPr>
        <w:ind w:left="720"/>
      </w:pPr>
      <w:r w:rsidRPr="00CF7344">
        <w:t>(1) A HHDK ösztöndíj összege a Duális Képzési Bizottság által, az egyetem által saját bevétele terhére kifejezetten ösztöndíj célú pályázati forrásból adott félévre HHDK ösztöndíj céljára rendelkezésre bocsátott ösztöndíj keret, adott félévben benyújtott pályázatok száma alapján kerül meghatározásra minden félévben.</w:t>
      </w:r>
    </w:p>
    <w:p w:rsidR="00DB13E7" w:rsidRPr="00CF7344" w:rsidRDefault="00DB13E7" w:rsidP="00DB13E7">
      <w:pPr>
        <w:pStyle w:val="paragrafus3"/>
        <w:numPr>
          <w:ilvl w:val="0"/>
          <w:numId w:val="0"/>
        </w:numPr>
        <w:ind w:left="720"/>
      </w:pPr>
      <w:r w:rsidRPr="00CF7344">
        <w:t>(2)</w:t>
      </w:r>
      <w:r>
        <w:t xml:space="preserve"> </w:t>
      </w:r>
      <w:r w:rsidRPr="00CF7344">
        <w:t xml:space="preserve">A HHDK ösztöndíj összegét a nyertes pályázóknak a pályázattal érintett félév végéig egy összegben utalja ki az Egyetem, a hallgató Neptun tanulmányi rendszerében megadott bankszámlaszámára.  </w:t>
      </w:r>
    </w:p>
    <w:p w:rsidR="006C477B" w:rsidRDefault="006C477B">
      <w:bookmarkStart w:id="16" w:name="_GoBack"/>
      <w:bookmarkEnd w:id="16"/>
    </w:p>
    <w:sectPr w:rsidR="006C4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AC4"/>
    <w:multiLevelType w:val="hybridMultilevel"/>
    <w:tmpl w:val="F0CC877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1" w15:restartNumberingAfterBreak="0">
    <w:nsid w:val="31B06579"/>
    <w:multiLevelType w:val="hybridMultilevel"/>
    <w:tmpl w:val="4A64532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2" w15:restartNumberingAfterBreak="0">
    <w:nsid w:val="34D04E76"/>
    <w:multiLevelType w:val="hybridMultilevel"/>
    <w:tmpl w:val="A83CA008"/>
    <w:lvl w:ilvl="0" w:tplc="5798B3FC">
      <w:start w:val="1"/>
      <w:numFmt w:val="lowerLetter"/>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3BE03005"/>
    <w:multiLevelType w:val="hybridMultilevel"/>
    <w:tmpl w:val="F0CC8770"/>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4" w15:restartNumberingAfterBreak="0">
    <w:nsid w:val="648A451D"/>
    <w:multiLevelType w:val="hybridMultilevel"/>
    <w:tmpl w:val="20EED2AE"/>
    <w:lvl w:ilvl="0" w:tplc="565A10E4">
      <w:start w:val="1"/>
      <w:numFmt w:val="decimal"/>
      <w:pStyle w:val="Norml"/>
      <w:lvlText w:val="(%1)"/>
      <w:lvlJc w:val="left"/>
      <w:pPr>
        <w:tabs>
          <w:tab w:val="num" w:pos="765"/>
        </w:tabs>
        <w:ind w:left="765" w:hanging="405"/>
      </w:pPr>
      <w:rPr>
        <w:rFonts w:hint="default"/>
      </w:rPr>
    </w:lvl>
    <w:lvl w:ilvl="1" w:tplc="5798B3FC">
      <w:start w:val="1"/>
      <w:numFmt w:val="lowerLetter"/>
      <w:lvlText w:val="%2)"/>
      <w:lvlJc w:val="left"/>
      <w:pPr>
        <w:tabs>
          <w:tab w:val="num" w:pos="1455"/>
        </w:tabs>
        <w:ind w:left="1455" w:hanging="375"/>
      </w:pPr>
      <w:rPr>
        <w:rFonts w:hint="default"/>
      </w:rPr>
    </w:lvl>
    <w:lvl w:ilvl="2" w:tplc="FC807302">
      <w:start w:val="7"/>
      <w:numFmt w:val="decimal"/>
      <w:lvlText w:val="%3."/>
      <w:lvlJc w:val="left"/>
      <w:pPr>
        <w:ind w:left="2771"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6D7A2A07"/>
    <w:multiLevelType w:val="hybridMultilevel"/>
    <w:tmpl w:val="11F8B4E6"/>
    <w:lvl w:ilvl="0" w:tplc="4684817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E6B432A"/>
    <w:multiLevelType w:val="multilevel"/>
    <w:tmpl w:val="95BCD514"/>
    <w:lvl w:ilvl="0">
      <w:start w:val="1"/>
      <w:numFmt w:val="decimal"/>
      <w:pStyle w:val="paragrafus1"/>
      <w:suff w:val="nothing"/>
      <w:lvlText w:val="%1.§ "/>
      <w:lvlJc w:val="left"/>
      <w:pPr>
        <w:ind w:left="8222" w:firstLine="284"/>
      </w:pPr>
      <w:rPr>
        <w:rFonts w:cs="Times New Roman" w:hint="default"/>
      </w:rPr>
    </w:lvl>
    <w:lvl w:ilvl="1">
      <w:start w:val="1"/>
      <w:numFmt w:val="decimal"/>
      <w:pStyle w:val="paragrafus2"/>
      <w:lvlText w:val="(%2)"/>
      <w:lvlJc w:val="left"/>
      <w:pPr>
        <w:tabs>
          <w:tab w:val="num" w:pos="709"/>
        </w:tabs>
        <w:ind w:left="709" w:hanging="425"/>
      </w:pPr>
      <w:rPr>
        <w:rFonts w:cs="Times New Roman" w:hint="default"/>
        <w:b w:val="0"/>
        <w:i w:val="0"/>
      </w:rPr>
    </w:lvl>
    <w:lvl w:ilvl="2">
      <w:start w:val="1"/>
      <w:numFmt w:val="lowerLetter"/>
      <w:pStyle w:val="paragrafus3"/>
      <w:lvlText w:val="%3)"/>
      <w:lvlJc w:val="left"/>
      <w:pPr>
        <w:tabs>
          <w:tab w:val="num" w:pos="994"/>
        </w:tabs>
        <w:ind w:left="994" w:hanging="426"/>
      </w:pPr>
      <w:rPr>
        <w:rFonts w:ascii="Times New Roman" w:eastAsia="Times New Roman" w:hAnsi="Times New Roman" w:cs="Times New Roman"/>
      </w:rPr>
    </w:lvl>
    <w:lvl w:ilvl="3">
      <w:start w:val="1"/>
      <w:numFmt w:val="lowerLetter"/>
      <w:lvlText w:val="%3%4)"/>
      <w:lvlJc w:val="left"/>
      <w:pPr>
        <w:tabs>
          <w:tab w:val="num" w:pos="1134"/>
        </w:tabs>
        <w:ind w:left="1134" w:hanging="425"/>
      </w:pPr>
      <w:rPr>
        <w:rFonts w:cs="Times New Roman" w:hint="default"/>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7" w15:restartNumberingAfterBreak="0">
    <w:nsid w:val="79366C86"/>
    <w:multiLevelType w:val="hybridMultilevel"/>
    <w:tmpl w:val="198EC32E"/>
    <w:lvl w:ilvl="0" w:tplc="4684817E">
      <w:start w:val="1"/>
      <w:numFmt w:val="decimal"/>
      <w:lvlText w:val="(%1)"/>
      <w:lvlJc w:val="left"/>
      <w:pPr>
        <w:ind w:left="1145" w:hanging="360"/>
      </w:pPr>
      <w:rPr>
        <w:rFonts w:hint="default"/>
      </w:rPr>
    </w:lvl>
    <w:lvl w:ilvl="1" w:tplc="040E0019">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E7"/>
    <w:rsid w:val="006C477B"/>
    <w:rsid w:val="00DB13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0A595-C2A6-4C06-BBE0-B4118EAE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13E7"/>
    <w:pPr>
      <w:spacing w:after="200" w:line="276" w:lineRule="auto"/>
    </w:pPr>
    <w:rPr>
      <w:rFonts w:ascii="Calibri" w:eastAsia="Calibri" w:hAnsi="Calibri" w:cs="Times New Roman"/>
    </w:rPr>
  </w:style>
  <w:style w:type="paragraph" w:styleId="Cmsor2">
    <w:name w:val="heading 2"/>
    <w:basedOn w:val="Norml"/>
    <w:next w:val="paragrafus1"/>
    <w:link w:val="Cmsor2Char"/>
    <w:autoRedefine/>
    <w:qFormat/>
    <w:rsid w:val="00DB13E7"/>
    <w:pPr>
      <w:keepNext/>
      <w:suppressAutoHyphens/>
      <w:spacing w:before="360" w:after="0" w:line="240" w:lineRule="auto"/>
      <w:jc w:val="center"/>
      <w:outlineLvl w:val="1"/>
    </w:pPr>
    <w:rPr>
      <w:rFonts w:ascii="Times New Roman" w:eastAsia="Times New Roman" w:hAnsi="Times New Roman"/>
      <w:b/>
      <w:bCs/>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B13E7"/>
    <w:rPr>
      <w:rFonts w:ascii="Times New Roman" w:eastAsia="Times New Roman" w:hAnsi="Times New Roman" w:cs="Times New Roman"/>
      <w:b/>
      <w:bCs/>
      <w:iCs/>
      <w:sz w:val="28"/>
      <w:szCs w:val="28"/>
      <w:lang w:eastAsia="hu-HU"/>
    </w:rPr>
  </w:style>
  <w:style w:type="paragraph" w:customStyle="1" w:styleId="paragrafus1">
    <w:name w:val="paragrafus1"/>
    <w:basedOn w:val="Norml"/>
    <w:next w:val="paragrafus2"/>
    <w:rsid w:val="00DB13E7"/>
    <w:pPr>
      <w:keepNext/>
      <w:widowControl w:val="0"/>
      <w:numPr>
        <w:numId w:val="1"/>
      </w:numPr>
      <w:spacing w:before="120" w:after="120" w:line="240" w:lineRule="auto"/>
      <w:jc w:val="center"/>
      <w:outlineLvl w:val="0"/>
    </w:pPr>
    <w:rPr>
      <w:rFonts w:ascii="Times New Roman" w:eastAsia="Times New Roman" w:hAnsi="Times New Roman"/>
      <w:b/>
      <w:sz w:val="24"/>
      <w:szCs w:val="24"/>
      <w:lang w:eastAsia="hu-HU"/>
    </w:rPr>
  </w:style>
  <w:style w:type="paragraph" w:customStyle="1" w:styleId="paragrafus2">
    <w:name w:val="paragrafus2"/>
    <w:basedOn w:val="paragrafus1"/>
    <w:next w:val="paragrafus3"/>
    <w:autoRedefine/>
    <w:qFormat/>
    <w:rsid w:val="00DB13E7"/>
    <w:pPr>
      <w:keepNext w:val="0"/>
      <w:widowControl/>
      <w:numPr>
        <w:ilvl w:val="1"/>
      </w:numPr>
      <w:jc w:val="both"/>
      <w:outlineLvl w:val="1"/>
    </w:pPr>
    <w:rPr>
      <w:b w:val="0"/>
    </w:rPr>
  </w:style>
  <w:style w:type="paragraph" w:customStyle="1" w:styleId="paragrafus3">
    <w:name w:val="paragrafus3"/>
    <w:basedOn w:val="paragrafus2"/>
    <w:rsid w:val="00DB13E7"/>
    <w:pPr>
      <w:numPr>
        <w:ilvl w:val="2"/>
      </w:numPr>
      <w:tabs>
        <w:tab w:val="left" w:pos="709"/>
      </w:tabs>
      <w:spacing w:before="0" w:after="0"/>
      <w:outlineLvl w:val="2"/>
    </w:pPr>
  </w:style>
  <w:style w:type="character" w:styleId="Hiperhivatkozs">
    <w:name w:val="Hyperlink"/>
    <w:uiPriority w:val="99"/>
    <w:rsid w:val="00DB13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alis@uni-eszterhaz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6750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Csilla</dc:creator>
  <cp:keywords/>
  <dc:description/>
  <cp:lastModifiedBy>Varga Csilla</cp:lastModifiedBy>
  <cp:revision>1</cp:revision>
  <dcterms:created xsi:type="dcterms:W3CDTF">2018-09-02T18:28:00Z</dcterms:created>
  <dcterms:modified xsi:type="dcterms:W3CDTF">2018-09-02T18:28:00Z</dcterms:modified>
</cp:coreProperties>
</file>